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DF" w:rsidRPr="007460DF" w:rsidRDefault="00A841DF" w:rsidP="00A841DF">
      <w:pPr>
        <w:pStyle w:val="Header"/>
        <w:pBdr>
          <w:top w:val="single" w:sz="18" w:space="1" w:color="auto"/>
        </w:pBdr>
        <w:rPr>
          <w:b/>
          <w:i/>
          <w:sz w:val="16"/>
        </w:rPr>
      </w:pPr>
    </w:p>
    <w:p w:rsidR="00A841DF" w:rsidRPr="007460DF" w:rsidRDefault="00A841DF" w:rsidP="00A841DF">
      <w:pPr>
        <w:pStyle w:val="Header"/>
        <w:pBdr>
          <w:top w:val="single" w:sz="18" w:space="1" w:color="auto"/>
        </w:pBdr>
        <w:rPr>
          <w:b/>
          <w:i/>
          <w:sz w:val="48"/>
        </w:rPr>
      </w:pPr>
      <w:r w:rsidRPr="007460DF">
        <w:rPr>
          <w:b/>
          <w:i/>
          <w:sz w:val="48"/>
        </w:rPr>
        <w:t>CHAPTER 1</w:t>
      </w:r>
    </w:p>
    <w:p w:rsidR="00A841DF" w:rsidRPr="007460DF" w:rsidRDefault="00A841DF" w:rsidP="00A841DF">
      <w:pPr>
        <w:pStyle w:val="Header"/>
        <w:pBdr>
          <w:top w:val="single" w:sz="18" w:space="1" w:color="auto"/>
        </w:pBdr>
        <w:rPr>
          <w:b/>
          <w:i/>
          <w:sz w:val="48"/>
        </w:rPr>
      </w:pPr>
      <w:r w:rsidRPr="007460DF">
        <w:rPr>
          <w:b/>
          <w:sz w:val="48"/>
        </w:rPr>
        <w:t>INTRODUCTION TO CORPORATE FINANCE</w:t>
      </w:r>
    </w:p>
    <w:p w:rsidR="00A841DF" w:rsidRPr="007460DF" w:rsidRDefault="00A841DF" w:rsidP="00A841DF">
      <w:pPr>
        <w:pStyle w:val="Heading1"/>
      </w:pPr>
    </w:p>
    <w:p w:rsidR="00A841DF" w:rsidRPr="007460DF" w:rsidRDefault="00A841DF" w:rsidP="00A841DF">
      <w:pPr>
        <w:pStyle w:val="Heading1"/>
      </w:pPr>
      <w:r w:rsidRPr="007460DF">
        <w:t>Answers to Concept Questions</w:t>
      </w:r>
    </w:p>
    <w:p w:rsidR="00A841DF" w:rsidRPr="007460DF" w:rsidRDefault="00A841DF" w:rsidP="00A841DF"/>
    <w:p w:rsidR="00A841DF" w:rsidRPr="007460DF" w:rsidRDefault="00A841DF" w:rsidP="00A841DF">
      <w:pPr>
        <w:tabs>
          <w:tab w:val="left" w:pos="440"/>
        </w:tabs>
        <w:ind w:left="440" w:hanging="440"/>
        <w:jc w:val="both"/>
      </w:pPr>
      <w:r w:rsidRPr="007460DF">
        <w:rPr>
          <w:b/>
        </w:rPr>
        <w:t>1.</w:t>
      </w:r>
      <w:r w:rsidRPr="007460DF">
        <w:rPr>
          <w:b/>
        </w:rPr>
        <w:tab/>
      </w:r>
      <w:r w:rsidRPr="007460DF">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rsidR="00A841DF" w:rsidRPr="007460DF" w:rsidRDefault="00A841DF" w:rsidP="00A841DF">
      <w:pPr>
        <w:tabs>
          <w:tab w:val="left" w:pos="440"/>
        </w:tabs>
        <w:ind w:left="440" w:hanging="440"/>
        <w:jc w:val="both"/>
        <w:rPr>
          <w:b/>
        </w:rPr>
      </w:pPr>
    </w:p>
    <w:p w:rsidR="00A841DF" w:rsidRPr="007460DF" w:rsidRDefault="00A841DF" w:rsidP="00A841DF">
      <w:pPr>
        <w:tabs>
          <w:tab w:val="left" w:pos="440"/>
        </w:tabs>
        <w:ind w:left="440" w:hanging="440"/>
        <w:jc w:val="both"/>
      </w:pPr>
      <w:r w:rsidRPr="007460DF">
        <w:rPr>
          <w:b/>
        </w:rPr>
        <w:t>2.</w:t>
      </w:r>
      <w:r w:rsidRPr="007460DF">
        <w:tab/>
        <w:t>Such organizations frequently pursue social or political missions, so many different goals are conceivable. One goal that is often cited is revenue minimization; i.e., provide whatever goods and services are offered at the lowest possible cost to society. A better approach might be to observe that even a not-for-profit business has equity. Thus, one answer is that the appropriate goal is to maximize the value of the equity.</w:t>
      </w:r>
    </w:p>
    <w:p w:rsidR="00A841DF" w:rsidRPr="007460DF" w:rsidRDefault="00A841DF" w:rsidP="00A841DF">
      <w:pPr>
        <w:tabs>
          <w:tab w:val="left" w:pos="440"/>
        </w:tabs>
        <w:ind w:left="440" w:hanging="440"/>
        <w:jc w:val="both"/>
        <w:rPr>
          <w:b/>
        </w:rPr>
      </w:pPr>
    </w:p>
    <w:p w:rsidR="00A841DF" w:rsidRPr="007460DF" w:rsidRDefault="00A841DF" w:rsidP="00A841DF">
      <w:pPr>
        <w:tabs>
          <w:tab w:val="left" w:pos="440"/>
        </w:tabs>
        <w:ind w:left="440" w:hanging="440"/>
        <w:jc w:val="both"/>
      </w:pPr>
      <w:r w:rsidRPr="007460DF">
        <w:rPr>
          <w:b/>
        </w:rPr>
        <w:t>3.</w:t>
      </w:r>
      <w:r w:rsidRPr="007460DF">
        <w:tab/>
        <w:t xml:space="preserve">Presumably, the current stock value reflects the risk, timing, and magnitude of all future cash flows, both short-term </w:t>
      </w:r>
      <w:r w:rsidRPr="007460DF">
        <w:rPr>
          <w:i/>
        </w:rPr>
        <w:t>and</w:t>
      </w:r>
      <w:r w:rsidRPr="007460DF">
        <w:t xml:space="preserve"> long-term. If this is correct, then the statement is false.</w:t>
      </w:r>
    </w:p>
    <w:p w:rsidR="00A841DF" w:rsidRPr="007460DF" w:rsidRDefault="00A841DF" w:rsidP="00A841DF">
      <w:pPr>
        <w:tabs>
          <w:tab w:val="left" w:pos="440"/>
        </w:tabs>
        <w:ind w:left="440" w:hanging="440"/>
        <w:jc w:val="both"/>
      </w:pPr>
    </w:p>
    <w:p w:rsidR="00A841DF" w:rsidRPr="007460DF" w:rsidRDefault="00A841DF" w:rsidP="00A841DF">
      <w:pPr>
        <w:tabs>
          <w:tab w:val="left" w:pos="440"/>
        </w:tabs>
        <w:ind w:left="440" w:hanging="440"/>
        <w:jc w:val="both"/>
      </w:pPr>
      <w:r w:rsidRPr="007460DF">
        <w:rPr>
          <w:b/>
        </w:rPr>
        <w:t>4.</w:t>
      </w:r>
      <w:r w:rsidRPr="007460DF">
        <w:tab/>
        <w:t>An argument can be made either way. At the one extreme, we could argue that in a market economy, all of these things are priced. There is thus an optimal level of, for example, 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rsidR="00A841DF" w:rsidRPr="007460DF" w:rsidRDefault="00A841DF" w:rsidP="00A841DF">
      <w:pPr>
        <w:tabs>
          <w:tab w:val="left" w:pos="440"/>
        </w:tabs>
        <w:ind w:left="440" w:hanging="440"/>
        <w:jc w:val="both"/>
      </w:pPr>
    </w:p>
    <w:p w:rsidR="00A841DF" w:rsidRPr="007460DF" w:rsidRDefault="00A841DF" w:rsidP="00A841DF">
      <w:pPr>
        <w:pStyle w:val="saay"/>
        <w:rPr>
          <w:rFonts w:ascii="Times New Roman" w:hAnsi="Times New Roman"/>
        </w:rPr>
      </w:pPr>
      <w:r w:rsidRPr="007460DF">
        <w:rPr>
          <w:rFonts w:ascii="Times New Roman" w:hAnsi="Times New Roman"/>
          <w:b/>
        </w:rPr>
        <w:t>5.</w:t>
      </w:r>
      <w:r w:rsidRPr="007460DF">
        <w:rPr>
          <w:rFonts w:ascii="Times New Roman" w:hAnsi="Times New Roman"/>
        </w:rPr>
        <w:tab/>
        <w:t>The goal will be the same, but the best course of action toward that goal may be different because of differing social, political, and economic institutions.</w:t>
      </w:r>
    </w:p>
    <w:p w:rsidR="00A841DF" w:rsidRPr="007460DF" w:rsidRDefault="00A841DF" w:rsidP="00A841DF">
      <w:pPr>
        <w:pStyle w:val="saay"/>
        <w:rPr>
          <w:rFonts w:ascii="Times New Roman" w:hAnsi="Times New Roman"/>
        </w:rPr>
      </w:pPr>
    </w:p>
    <w:p w:rsidR="00A841DF" w:rsidRPr="007460DF" w:rsidRDefault="00A841DF" w:rsidP="00A841DF">
      <w:pPr>
        <w:pStyle w:val="saay"/>
        <w:rPr>
          <w:rFonts w:ascii="Times New Roman" w:hAnsi="Times New Roman"/>
        </w:rPr>
      </w:pPr>
      <w:r w:rsidRPr="007460DF">
        <w:rPr>
          <w:rFonts w:ascii="Times New Roman" w:hAnsi="Times New Roman"/>
          <w:b/>
        </w:rPr>
        <w:t>6.</w:t>
      </w:r>
      <w:r w:rsidRPr="007460DF">
        <w:rPr>
          <w:rFonts w:ascii="Times New Roman" w:hAnsi="Times New Roman"/>
        </w:rPr>
        <w:tab/>
        <w:t>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w:t>
      </w:r>
      <w:r>
        <w:rPr>
          <w:rFonts w:ascii="Times New Roman" w:hAnsi="Times New Roman"/>
        </w:rPr>
        <w:t>,</w:t>
      </w:r>
      <w:r w:rsidRPr="007460DF">
        <w:rPr>
          <w:rFonts w:ascii="Times New Roman" w:hAnsi="Times New Roman"/>
        </w:rPr>
        <w:t xml:space="preserve"> or other unidentified bidders</w:t>
      </w:r>
      <w:r>
        <w:rPr>
          <w:rFonts w:ascii="Times New Roman" w:hAnsi="Times New Roman"/>
        </w:rPr>
        <w:t>,</w:t>
      </w:r>
      <w:r w:rsidRPr="007460DF">
        <w:rPr>
          <w:rFonts w:ascii="Times New Roman" w:hAnsi="Times New Roman"/>
        </w:rPr>
        <w:t xml:space="preserve"> will actually pay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rsidR="00A841DF" w:rsidRPr="007460DF" w:rsidRDefault="00A841DF" w:rsidP="00A841DF">
      <w:pPr>
        <w:tabs>
          <w:tab w:val="left" w:pos="440"/>
        </w:tabs>
        <w:ind w:left="440" w:hanging="440"/>
        <w:jc w:val="both"/>
      </w:pPr>
    </w:p>
    <w:p w:rsidR="00A841DF" w:rsidRPr="007460DF" w:rsidRDefault="00A841DF" w:rsidP="00A841DF">
      <w:pPr>
        <w:pStyle w:val="saay"/>
        <w:rPr>
          <w:rFonts w:ascii="Times New Roman" w:hAnsi="Times New Roman"/>
        </w:rPr>
      </w:pPr>
      <w:r w:rsidRPr="007460DF">
        <w:rPr>
          <w:rFonts w:ascii="Times New Roman" w:hAnsi="Times New Roman"/>
          <w:b/>
        </w:rPr>
        <w:br w:type="page"/>
      </w:r>
      <w:r w:rsidRPr="007460DF">
        <w:rPr>
          <w:rFonts w:ascii="Times New Roman" w:hAnsi="Times New Roman"/>
          <w:b/>
        </w:rPr>
        <w:lastRenderedPageBreak/>
        <w:t>7.</w:t>
      </w:r>
      <w:r w:rsidRPr="007460DF">
        <w:rPr>
          <w:rFonts w:ascii="Times New Roman" w:hAnsi="Times New Roman"/>
        </w:rPr>
        <w:tab/>
        <w:t xml:space="preserve">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w:t>
      </w:r>
    </w:p>
    <w:p w:rsidR="00A841DF" w:rsidRPr="007460DF" w:rsidRDefault="00A841DF" w:rsidP="00A841DF">
      <w:pPr>
        <w:pStyle w:val="saay"/>
        <w:rPr>
          <w:rFonts w:ascii="Times New Roman" w:hAnsi="Times New Roman"/>
        </w:rPr>
      </w:pPr>
    </w:p>
    <w:p w:rsidR="00A841DF" w:rsidRPr="007460DF" w:rsidRDefault="00A841DF" w:rsidP="00A841DF">
      <w:pPr>
        <w:pStyle w:val="saay"/>
        <w:ind w:left="446" w:hanging="446"/>
        <w:rPr>
          <w:rFonts w:ascii="Times New Roman" w:hAnsi="Times New Roman"/>
        </w:rPr>
      </w:pPr>
      <w:r w:rsidRPr="007460DF">
        <w:rPr>
          <w:rFonts w:ascii="Times New Roman" w:hAnsi="Times New Roman"/>
          <w:b/>
          <w:bCs/>
        </w:rPr>
        <w:t>8.</w:t>
      </w:r>
      <w:r w:rsidRPr="007460DF">
        <w:rPr>
          <w:rFonts w:ascii="Times New Roman" w:hAnsi="Times New Roman"/>
        </w:rPr>
        <w:t xml:space="preserve"> </w:t>
      </w:r>
      <w:r w:rsidRPr="007460DF">
        <w:rPr>
          <w:rFonts w:ascii="Times New Roman" w:hAnsi="Times New Roman"/>
        </w:rPr>
        <w:tab/>
        <w:t>The increase in institutional ownership of stock in the United States and the growing activism of these large shareholder groups may lead to a reduction in agency problems for U.S. corporations and a more efficient market for corporate control. However, this may not always be the case. If the managers of the mutual fund or pension plan are not concerned with the interests of the investors, the agency problem could potentially remain the same, or even increase</w:t>
      </w:r>
      <w:r>
        <w:rPr>
          <w:rFonts w:ascii="Times New Roman" w:hAnsi="Times New Roman"/>
        </w:rPr>
        <w:t>,</w:t>
      </w:r>
      <w:r w:rsidRPr="007460DF">
        <w:rPr>
          <w:rFonts w:ascii="Times New Roman" w:hAnsi="Times New Roman"/>
        </w:rPr>
        <w:t xml:space="preserve"> since there is the possibility of agency problems between the fund and its investors. </w:t>
      </w:r>
    </w:p>
    <w:p w:rsidR="00A841DF" w:rsidRPr="007460DF" w:rsidRDefault="00A841DF" w:rsidP="00A841DF">
      <w:pPr>
        <w:tabs>
          <w:tab w:val="left" w:pos="450"/>
        </w:tabs>
        <w:ind w:left="446" w:hanging="446"/>
      </w:pPr>
    </w:p>
    <w:p w:rsidR="00A841DF" w:rsidRPr="007460DF" w:rsidRDefault="00A841DF" w:rsidP="00A841DF">
      <w:pPr>
        <w:tabs>
          <w:tab w:val="left" w:pos="450"/>
        </w:tabs>
        <w:ind w:left="446" w:hanging="446"/>
        <w:jc w:val="both"/>
      </w:pPr>
      <w:r w:rsidRPr="007460DF">
        <w:rPr>
          <w:b/>
        </w:rPr>
        <w:t>9.</w:t>
      </w:r>
      <w:r w:rsidRPr="007460DF">
        <w:rPr>
          <w:b/>
        </w:rPr>
        <w:tab/>
      </w:r>
      <w:r w:rsidRPr="007460DF">
        <w:t xml:space="preserve">How much is too much? Who is worth more, </w:t>
      </w:r>
      <w:r>
        <w:t>Larry Ellison</w:t>
      </w:r>
      <w:r w:rsidRPr="007460DF">
        <w:t xml:space="preserve"> or Tiger Woods?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executive compensation has grown so dramatically is that companies have increasingly moved to stock-based compensation. Such movement is obviously consistent with the attempt to better align stockholder and management interests. In recent years, stock prices have soared, so management has cleaned up. It is sometimes argued that much of this reward is due to rising stock prices in general, not managerial performance. Perhaps in the future, executive compensation will be designed to reward only differential performance, i.e., stock price increases in excess of general market increases.</w:t>
      </w:r>
    </w:p>
    <w:p w:rsidR="00A841DF" w:rsidRPr="007460DF" w:rsidRDefault="00A841DF" w:rsidP="00A841DF"/>
    <w:p w:rsidR="00A841DF" w:rsidRPr="007460DF" w:rsidRDefault="00A841DF" w:rsidP="00A841DF">
      <w:pPr>
        <w:ind w:left="446" w:hanging="446"/>
        <w:jc w:val="both"/>
        <w:rPr>
          <w:b/>
        </w:rPr>
      </w:pPr>
      <w:r w:rsidRPr="007460DF">
        <w:rPr>
          <w:b/>
        </w:rPr>
        <w:t>10.</w:t>
      </w:r>
      <w:r w:rsidRPr="007460DF">
        <w:rPr>
          <w:b/>
        </w:rPr>
        <w:tab/>
      </w:r>
      <w:r w:rsidRPr="007460DF">
        <w:rPr>
          <w:bCs/>
        </w:rPr>
        <w:t>Maximizing the current share price is the same as maximizing the future share price at any future period. The value of a share of stock depends on all of the future cash flows of company. Another way to look at this is that, barring large cash payments to shareholders, the expected price of the stock must be higher in the future than it is today. Who would buy a stock for $100 today when the share price in one year is expected to be $80?</w:t>
      </w:r>
    </w:p>
    <w:p w:rsidR="00A841DF" w:rsidRPr="007460DF" w:rsidRDefault="00A841DF" w:rsidP="00A841DF">
      <w:pPr>
        <w:ind w:left="446" w:hanging="446"/>
        <w:jc w:val="both"/>
        <w:rPr>
          <w:b/>
        </w:rPr>
      </w:pPr>
    </w:p>
    <w:p w:rsidR="00A841DF" w:rsidRDefault="00A841DF" w:rsidP="00A841DF">
      <w:pPr>
        <w:sectPr w:rsidR="00A841DF" w:rsidSect="00B073D6">
          <w:headerReference w:type="default" r:id="rId4"/>
          <w:pgSz w:w="12240" w:h="15840"/>
          <w:pgMar w:top="1440" w:right="1440" w:bottom="1440" w:left="1440" w:header="720" w:footer="720" w:gutter="0"/>
          <w:cols w:space="720"/>
          <w:docGrid w:linePitch="360"/>
        </w:sectPr>
      </w:pPr>
    </w:p>
    <w:p w:rsidR="003654EA" w:rsidRDefault="003654EA">
      <w:bookmarkStart w:id="0" w:name="_GoBack"/>
      <w:bookmarkEnd w:id="0"/>
    </w:p>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A841DF">
    <w:pPr>
      <w:pStyle w:val="Header"/>
      <w:jc w:val="right"/>
    </w:pPr>
    <w:r>
      <w:t xml:space="preserve">CHAPTER 2 - </w:t>
    </w:r>
    <w:sdt>
      <w:sdtPr>
        <w:id w:val="40368846"/>
        <w:docPartObj>
          <w:docPartGallery w:val="Page Numbers (Top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rsidR="008439FC" w:rsidRDefault="00A841DF" w:rsidP="00D5749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DF"/>
    <w:rsid w:val="003654EA"/>
    <w:rsid w:val="00A8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D2C57-AC92-4AC5-AFD1-71679139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1DF"/>
    <w:rPr>
      <w:rFonts w:eastAsia="Times New Roman" w:cs="Times New Roman"/>
      <w:sz w:val="22"/>
      <w:szCs w:val="24"/>
    </w:rPr>
  </w:style>
  <w:style w:type="paragraph" w:styleId="Heading1">
    <w:name w:val="heading 1"/>
    <w:basedOn w:val="Normal"/>
    <w:next w:val="Normal"/>
    <w:link w:val="Heading1Char"/>
    <w:qFormat/>
    <w:rsid w:val="00A841DF"/>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1DF"/>
    <w:rPr>
      <w:rFonts w:eastAsia="Times New Roman" w:cs="Times New Roman"/>
      <w:b/>
      <w:bCs/>
      <w:sz w:val="22"/>
      <w:szCs w:val="20"/>
    </w:rPr>
  </w:style>
  <w:style w:type="paragraph" w:customStyle="1" w:styleId="saay">
    <w:name w:val="saay"/>
    <w:basedOn w:val="Normal"/>
    <w:rsid w:val="00A841DF"/>
    <w:pPr>
      <w:tabs>
        <w:tab w:val="left" w:pos="440"/>
      </w:tabs>
      <w:ind w:left="440" w:hanging="440"/>
      <w:jc w:val="both"/>
    </w:pPr>
    <w:rPr>
      <w:rFonts w:ascii="Times" w:hAnsi="Times"/>
      <w:szCs w:val="20"/>
    </w:rPr>
  </w:style>
  <w:style w:type="paragraph" w:styleId="Header">
    <w:name w:val="header"/>
    <w:basedOn w:val="Normal"/>
    <w:link w:val="HeaderChar"/>
    <w:rsid w:val="00A841DF"/>
    <w:pPr>
      <w:tabs>
        <w:tab w:val="center" w:pos="4320"/>
        <w:tab w:val="right" w:pos="8640"/>
      </w:tabs>
    </w:pPr>
    <w:rPr>
      <w:rFonts w:ascii="Times" w:hAnsi="Times"/>
      <w:szCs w:val="20"/>
    </w:rPr>
  </w:style>
  <w:style w:type="character" w:customStyle="1" w:styleId="HeaderChar">
    <w:name w:val="Header Char"/>
    <w:basedOn w:val="DefaultParagraphFont"/>
    <w:link w:val="Header"/>
    <w:rsid w:val="00A841DF"/>
    <w:rPr>
      <w:rFonts w:ascii="Times" w:eastAsia="Times New Roman"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4738</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Answers to Concept Questions</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2022-04-14T20:45:00Z</dcterms:created>
  <dcterms:modified xsi:type="dcterms:W3CDTF">2022-04-14T20:45:00Z</dcterms:modified>
</cp:coreProperties>
</file>